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6B7131B5"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p>
    <w:p w14:paraId="6F7E13B0" w14:textId="34E47BEE"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E9133E" w:rsidRPr="00E9133E">
        <w:rPr>
          <w:rFonts w:ascii="Arial" w:eastAsia="Batang" w:hAnsi="Arial" w:cs="Arial"/>
          <w:b/>
          <w:bCs/>
          <w:lang w:val="en-GB"/>
        </w:rPr>
        <w:t>[5MBUSA] Updates on MBS Security</w:t>
      </w:r>
    </w:p>
    <w:p w14:paraId="52C631B6" w14:textId="53EE6D49"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1907DF">
        <w:rPr>
          <w:rFonts w:ascii="Arial" w:eastAsia="Batang" w:hAnsi="Arial" w:cs="Arial"/>
          <w:b/>
          <w:bCs/>
          <w:lang w:val="en-GB"/>
        </w:rPr>
        <w:t>8</w:t>
      </w:r>
      <w:r w:rsidR="00895F02" w:rsidRPr="00895F02">
        <w:rPr>
          <w:rFonts w:ascii="Arial" w:eastAsia="Batang" w:hAnsi="Arial" w:cs="Arial"/>
          <w:b/>
          <w:bCs/>
          <w:lang w:val="en-GB"/>
        </w:rPr>
        <w:t>.</w:t>
      </w:r>
      <w:r w:rsidR="001907DF">
        <w:rPr>
          <w:rFonts w:ascii="Arial" w:eastAsia="Batang" w:hAnsi="Arial" w:cs="Arial"/>
          <w:b/>
          <w:bCs/>
          <w:lang w:val="en-GB"/>
        </w:rPr>
        <w:t>5</w:t>
      </w:r>
    </w:p>
    <w:p w14:paraId="3706DB92" w14:textId="1275CE5C"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1907DF">
        <w:rPr>
          <w:rFonts w:ascii="Arial" w:eastAsia="Batang" w:hAnsi="Arial" w:cs="Arial"/>
          <w:b/>
          <w:bCs/>
          <w:lang w:val="en-GB"/>
        </w:rPr>
        <w:t>Consideration</w:t>
      </w:r>
    </w:p>
    <w:bookmarkEnd w:id="0"/>
    <w:bookmarkEnd w:id="1"/>
    <w:p w14:paraId="7EAC7F6C" w14:textId="539574CA" w:rsidR="009254FD" w:rsidRDefault="00EC1ACC" w:rsidP="009254FD">
      <w:pPr>
        <w:pStyle w:val="Heading1"/>
        <w:rPr>
          <w:lang w:val="en-GB" w:eastAsia="ko-KR"/>
        </w:rPr>
      </w:pPr>
      <w:r>
        <w:rPr>
          <w:lang w:val="en-GB" w:eastAsia="ko-KR"/>
        </w:rPr>
        <w:t>1</w:t>
      </w:r>
      <w:r>
        <w:rPr>
          <w:lang w:val="en-GB" w:eastAsia="ko-KR"/>
        </w:rPr>
        <w:tab/>
        <w:t>Introduction</w:t>
      </w:r>
    </w:p>
    <w:p w14:paraId="072B9047" w14:textId="724B58B0" w:rsidR="00DB4E87" w:rsidRDefault="00116CCB" w:rsidP="00695A32">
      <w:pPr>
        <w:rPr>
          <w:lang w:val="en-GB"/>
        </w:rPr>
      </w:pPr>
      <w:r>
        <w:rPr>
          <w:lang w:val="en-GB"/>
        </w:rPr>
        <w:t xml:space="preserve">Offline discussion the subject matter of MBMS security has </w:t>
      </w:r>
      <w:r w:rsidR="00D71D9C">
        <w:rPr>
          <w:lang w:val="en-GB"/>
        </w:rPr>
        <w:t xml:space="preserve">revealed a slightly </w:t>
      </w:r>
      <w:hyperlink r:id="rId11" w:history="1">
        <w:r w:rsidR="00D71D9C" w:rsidRPr="0054034F">
          <w:rPr>
            <w:rStyle w:val="Hyperlink"/>
            <w:lang w:val="en-GB"/>
          </w:rPr>
          <w:t>bizarre</w:t>
        </w:r>
      </w:hyperlink>
      <w:r w:rsidR="00D71D9C">
        <w:rPr>
          <w:lang w:val="en-GB"/>
        </w:rPr>
        <w:t xml:space="preserve"> </w:t>
      </w:r>
      <w:r w:rsidR="00DB4E87">
        <w:rPr>
          <w:lang w:val="en-GB"/>
        </w:rPr>
        <w:t xml:space="preserve">situation </w:t>
      </w:r>
      <w:r w:rsidR="00695A32">
        <w:rPr>
          <w:lang w:val="en-GB"/>
        </w:rPr>
        <w:t>at least for UP security</w:t>
      </w:r>
      <w:r w:rsidR="00DB4E87">
        <w:rPr>
          <w:lang w:val="en-GB"/>
        </w:rPr>
        <w:t>.</w:t>
      </w:r>
    </w:p>
    <w:p w14:paraId="51D8B33E" w14:textId="05C62D98" w:rsidR="00695A32" w:rsidRDefault="00DB4E87" w:rsidP="00695A32">
      <w:pPr>
        <w:rPr>
          <w:lang w:val="en-GB"/>
        </w:rPr>
      </w:pPr>
      <w:r>
        <w:rPr>
          <w:lang w:val="en-GB"/>
        </w:rPr>
        <w:t>However, f</w:t>
      </w:r>
      <w:r w:rsidR="00695A32">
        <w:rPr>
          <w:lang w:val="en-GB"/>
        </w:rPr>
        <w:t xml:space="preserve">or </w:t>
      </w:r>
      <w:r w:rsidR="00695A32">
        <w:rPr>
          <w:b/>
          <w:bCs/>
          <w:u w:val="single"/>
          <w:lang w:val="en-GB"/>
        </w:rPr>
        <w:t>CP security</w:t>
      </w:r>
      <w:r w:rsidR="00695A32">
        <w:rPr>
          <w:lang w:val="en-GB"/>
        </w:rPr>
        <w:t xml:space="preserve"> the procedure is defined in TS 23.247</w:t>
      </w:r>
      <w:r>
        <w:rPr>
          <w:lang w:val="en-GB"/>
        </w:rPr>
        <w:t xml:space="preserve"> is as follows</w:t>
      </w:r>
      <w:r w:rsidR="00695A32">
        <w:rPr>
          <w:lang w:val="en-GB"/>
        </w:rPr>
        <w:t xml:space="preserve"> </w:t>
      </w:r>
    </w:p>
    <w:p w14:paraId="016120E0" w14:textId="77777777" w:rsidR="00695A32" w:rsidRDefault="00695A32" w:rsidP="00DB4E87">
      <w:pPr>
        <w:ind w:left="284"/>
        <w:rPr>
          <w:i/>
          <w:iCs/>
          <w:lang w:val="en-GB"/>
        </w:rPr>
      </w:pPr>
      <w:r>
        <w:rPr>
          <w:i/>
          <w:iCs/>
          <w:lang w:val="en-GB"/>
        </w:rPr>
        <w:t>The following additions for MBS multicast control plane procedures in the present specification apply if the MBS security function for multicast as defined in TS 33.501 [20] is used:</w:t>
      </w:r>
    </w:p>
    <w:p w14:paraId="0636F291" w14:textId="77777777" w:rsidR="00695A32" w:rsidRDefault="00695A32" w:rsidP="00DB4E87">
      <w:pPr>
        <w:pStyle w:val="B1"/>
        <w:ind w:left="852"/>
        <w:rPr>
          <w:i/>
          <w:iCs/>
          <w:lang w:val="en-GB"/>
        </w:rPr>
      </w:pPr>
      <w:r>
        <w:rPr>
          <w:i/>
          <w:iCs/>
          <w:lang w:val="en-GB"/>
        </w:rPr>
        <w:t>-     The multicast session security context, as defined in TS 33.501 [20], is used to protect MBS traffic of an MBS session. During the session establishment and when a UE joins, the multicast session security context contains MSK and MTK.</w:t>
      </w:r>
    </w:p>
    <w:p w14:paraId="05045935" w14:textId="77777777" w:rsidR="00695A32" w:rsidRDefault="00695A32" w:rsidP="00DB4E87">
      <w:pPr>
        <w:pStyle w:val="B1"/>
        <w:ind w:left="852"/>
        <w:rPr>
          <w:i/>
          <w:iCs/>
          <w:lang w:val="en-GB"/>
        </w:rPr>
      </w:pPr>
      <w:r>
        <w:rPr>
          <w:i/>
          <w:iCs/>
          <w:lang w:val="en-GB"/>
        </w:rPr>
        <w:t>-     The UEs in the MBS session use the received multicast session security context to process the protected MBS traffic.</w:t>
      </w:r>
    </w:p>
    <w:p w14:paraId="12DEEB87" w14:textId="77777777" w:rsidR="00695A32" w:rsidRDefault="00695A32" w:rsidP="00DB4E87">
      <w:pPr>
        <w:pStyle w:val="B1"/>
        <w:ind w:left="852"/>
        <w:rPr>
          <w:i/>
          <w:iCs/>
          <w:lang w:val="en-GB"/>
        </w:rPr>
      </w:pPr>
      <w:r>
        <w:rPr>
          <w:i/>
          <w:iCs/>
          <w:lang w:val="en-GB"/>
        </w:rPr>
        <w:t xml:space="preserve">-     MBSF distributes the multicast session security context to the MB-SMF via the </w:t>
      </w:r>
      <w:proofErr w:type="spellStart"/>
      <w:r>
        <w:rPr>
          <w:i/>
          <w:iCs/>
          <w:lang w:val="en-GB"/>
        </w:rPr>
        <w:t>Nmbsmf_MBSSession_Create</w:t>
      </w:r>
      <w:proofErr w:type="spellEnd"/>
      <w:r>
        <w:rPr>
          <w:i/>
          <w:iCs/>
          <w:lang w:val="en-GB"/>
        </w:rPr>
        <w:t xml:space="preserve"> Request or </w:t>
      </w:r>
      <w:proofErr w:type="spellStart"/>
      <w:r>
        <w:rPr>
          <w:i/>
          <w:iCs/>
          <w:lang w:val="en-GB"/>
        </w:rPr>
        <w:t>Nmbsmf_MBSSession_Update</w:t>
      </w:r>
      <w:proofErr w:type="spellEnd"/>
      <w:r>
        <w:rPr>
          <w:i/>
          <w:iCs/>
          <w:lang w:val="en-GB"/>
        </w:rPr>
        <w:t xml:space="preserve"> Request message.</w:t>
      </w:r>
    </w:p>
    <w:p w14:paraId="0CFE6720" w14:textId="77777777" w:rsidR="00695A32" w:rsidRDefault="00695A32" w:rsidP="00DB4E87">
      <w:pPr>
        <w:pStyle w:val="B1"/>
        <w:ind w:left="852"/>
        <w:rPr>
          <w:i/>
          <w:iCs/>
          <w:lang w:val="en-GB"/>
        </w:rPr>
      </w:pPr>
      <w:r>
        <w:rPr>
          <w:i/>
          <w:iCs/>
          <w:lang w:val="en-GB"/>
        </w:rPr>
        <w:t xml:space="preserve">-     The SMF interacts with the MB-SMF to obtain the multicast session security context. The MB-SMF provides the security context in the </w:t>
      </w:r>
      <w:proofErr w:type="spellStart"/>
      <w:r>
        <w:rPr>
          <w:i/>
          <w:iCs/>
          <w:lang w:val="en-GB"/>
        </w:rPr>
        <w:t>Nmbsmf_MBSSession_ContextStatusSubscribe</w:t>
      </w:r>
      <w:proofErr w:type="spellEnd"/>
      <w:r>
        <w:rPr>
          <w:i/>
          <w:iCs/>
          <w:lang w:val="en-GB"/>
        </w:rPr>
        <w:t xml:space="preserve"> response message and in the </w:t>
      </w:r>
      <w:proofErr w:type="spellStart"/>
      <w:r>
        <w:rPr>
          <w:i/>
          <w:iCs/>
          <w:lang w:val="en-GB"/>
        </w:rPr>
        <w:t>Nmbsmf_MBSSession_ContextStatusNotify</w:t>
      </w:r>
      <w:proofErr w:type="spellEnd"/>
      <w:r>
        <w:rPr>
          <w:i/>
          <w:iCs/>
          <w:lang w:val="en-GB"/>
        </w:rPr>
        <w:t xml:space="preserve"> request message.</w:t>
      </w:r>
    </w:p>
    <w:p w14:paraId="16C6E6CF" w14:textId="77777777" w:rsidR="00695A32" w:rsidRDefault="00695A32" w:rsidP="00DB4E87">
      <w:pPr>
        <w:pStyle w:val="B1"/>
        <w:ind w:left="852"/>
        <w:rPr>
          <w:i/>
          <w:iCs/>
          <w:lang w:val="en-GB"/>
        </w:rPr>
      </w:pPr>
      <w:r>
        <w:rPr>
          <w:i/>
          <w:iCs/>
          <w:lang w:val="en-GB"/>
        </w:rPr>
        <w:t>-     If the UE is authorized to join the Multicast MBS session, the SMF shall provide the multicast session security context to the UE in N1 SM container if it received the multicast session security context from the MB-SMF.</w:t>
      </w:r>
    </w:p>
    <w:p w14:paraId="67913ECE" w14:textId="77777777" w:rsidR="00695A32" w:rsidRDefault="00695A32" w:rsidP="00DB4E87">
      <w:pPr>
        <w:pStyle w:val="B1"/>
        <w:ind w:left="852"/>
        <w:rPr>
          <w:i/>
          <w:iCs/>
          <w:lang w:val="en-GB"/>
        </w:rPr>
      </w:pPr>
      <w:r>
        <w:rPr>
          <w:i/>
          <w:iCs/>
          <w:lang w:val="en-GB"/>
        </w:rPr>
        <w:t>-     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4A235A19" w14:textId="77777777" w:rsidR="00695A32" w:rsidRDefault="00695A32" w:rsidP="00DB4E87">
      <w:pPr>
        <w:pStyle w:val="NO"/>
        <w:ind w:left="1419"/>
        <w:rPr>
          <w:i/>
          <w:iCs/>
          <w:lang w:val="en-GB"/>
        </w:rPr>
      </w:pPr>
      <w:r>
        <w:rPr>
          <w:i/>
          <w:iCs/>
          <w:lang w:val="en-GB"/>
        </w:rPr>
        <w:t>NOTE 1:   If no MSK but only the MTK is to be updated, the session update described in the previous bullet is not triggered and the MTK is updated as defined in TS 33.501 [20].</w:t>
      </w:r>
    </w:p>
    <w:p w14:paraId="5D84DFB0" w14:textId="3BA55C9E" w:rsidR="00695A32" w:rsidRPr="00AB5400" w:rsidRDefault="00695A32" w:rsidP="00DB4E87">
      <w:pPr>
        <w:pStyle w:val="NO"/>
        <w:ind w:left="1419"/>
        <w:rPr>
          <w:i/>
          <w:iCs/>
          <w:lang w:val="en-GB"/>
        </w:rPr>
      </w:pPr>
      <w:r>
        <w:rPr>
          <w:i/>
          <w:iCs/>
          <w:lang w:val="en-GB"/>
        </w:rPr>
        <w:t>NOTE 2:   Interaction between MBSF and MBSTF will be defined in TS 33.501 [20] and TS 26.502 [18].</w:t>
      </w:r>
    </w:p>
    <w:p w14:paraId="7CABBD5B" w14:textId="1DEDF65F" w:rsidR="00C9071C" w:rsidRDefault="00AB5400" w:rsidP="00695A32">
      <w:pPr>
        <w:rPr>
          <w:lang w:val="en-GB"/>
        </w:rPr>
      </w:pPr>
      <w:r>
        <w:rPr>
          <w:lang w:val="en-GB"/>
        </w:rPr>
        <w:t>T</w:t>
      </w:r>
      <w:r w:rsidR="00695A32">
        <w:rPr>
          <w:lang w:val="en-GB"/>
        </w:rPr>
        <w:t xml:space="preserve">he </w:t>
      </w:r>
      <w:r>
        <w:rPr>
          <w:lang w:val="en-GB"/>
        </w:rPr>
        <w:t xml:space="preserve">text in the </w:t>
      </w:r>
      <w:r w:rsidR="00695A32">
        <w:rPr>
          <w:lang w:val="en-GB"/>
        </w:rPr>
        <w:t xml:space="preserve">SA2 </w:t>
      </w:r>
      <w:r>
        <w:rPr>
          <w:lang w:val="en-GB"/>
        </w:rPr>
        <w:t xml:space="preserve">specification seems to be </w:t>
      </w:r>
      <w:r w:rsidR="00695A32">
        <w:rPr>
          <w:lang w:val="en-GB"/>
        </w:rPr>
        <w:t xml:space="preserve">correct and does not need any change for CP security. </w:t>
      </w:r>
      <w:r w:rsidR="00367C9E">
        <w:rPr>
          <w:lang w:val="en-GB"/>
        </w:rPr>
        <w:t>In addition, as Rel-17 is considered to be</w:t>
      </w:r>
      <w:r w:rsidR="00695A32">
        <w:rPr>
          <w:lang w:val="en-GB"/>
        </w:rPr>
        <w:t xml:space="preserve"> is deeply frozen and </w:t>
      </w:r>
      <w:r w:rsidR="00C307AF">
        <w:rPr>
          <w:lang w:val="en-GB"/>
        </w:rPr>
        <w:t xml:space="preserve">hence impacts on </w:t>
      </w:r>
      <w:r w:rsidR="00695A32">
        <w:rPr>
          <w:lang w:val="en-GB"/>
        </w:rPr>
        <w:t>Nmb2</w:t>
      </w:r>
      <w:r w:rsidR="00C307AF">
        <w:rPr>
          <w:lang w:val="en-GB"/>
        </w:rPr>
        <w:t xml:space="preserve"> should be avoided</w:t>
      </w:r>
      <w:r w:rsidR="00695A32">
        <w:rPr>
          <w:lang w:val="en-GB"/>
        </w:rPr>
        <w:t xml:space="preserve">. </w:t>
      </w:r>
      <w:r w:rsidR="00672465">
        <w:rPr>
          <w:lang w:val="en-GB"/>
        </w:rPr>
        <w:t>Hence,</w:t>
      </w:r>
      <w:r w:rsidR="00695A32">
        <w:rPr>
          <w:lang w:val="en-GB"/>
        </w:rPr>
        <w:t xml:space="preserve"> </w:t>
      </w:r>
      <w:r w:rsidR="00672465">
        <w:rPr>
          <w:lang w:val="en-GB"/>
        </w:rPr>
        <w:t>it should be</w:t>
      </w:r>
      <w:r w:rsidR="00695A32">
        <w:rPr>
          <w:lang w:val="en-GB"/>
        </w:rPr>
        <w:t xml:space="preserve"> le</w:t>
      </w:r>
      <w:r w:rsidR="00672465">
        <w:rPr>
          <w:lang w:val="en-GB"/>
        </w:rPr>
        <w:t>ft</w:t>
      </w:r>
      <w:r w:rsidR="00695A32">
        <w:rPr>
          <w:lang w:val="en-GB"/>
        </w:rPr>
        <w:t xml:space="preserve"> to implementation how to pass the keys from MBSF to MBSTF. </w:t>
      </w:r>
    </w:p>
    <w:p w14:paraId="6ACDAEEB" w14:textId="60C64593" w:rsidR="00695A32" w:rsidRDefault="00695A32" w:rsidP="00695A32">
      <w:pPr>
        <w:rPr>
          <w:lang w:val="en-GB"/>
        </w:rPr>
      </w:pPr>
      <w:r>
        <w:rPr>
          <w:lang w:val="en-GB"/>
        </w:rPr>
        <w:t xml:space="preserve">For UP security the situation </w:t>
      </w:r>
      <w:r w:rsidR="00C9071C">
        <w:rPr>
          <w:lang w:val="en-GB"/>
        </w:rPr>
        <w:t>is</w:t>
      </w:r>
      <w:r>
        <w:rPr>
          <w:lang w:val="en-GB"/>
        </w:rPr>
        <w:t xml:space="preserve"> different since the SA3 text was referring to MBSTF (instead of MBSF). </w:t>
      </w:r>
      <w:r w:rsidR="00C9071C">
        <w:rPr>
          <w:lang w:val="en-GB"/>
        </w:rPr>
        <w:t xml:space="preserve">The </w:t>
      </w:r>
      <w:r>
        <w:rPr>
          <w:lang w:val="en-GB"/>
        </w:rPr>
        <w:t xml:space="preserve">suggestion is to concentrate on UP security for which </w:t>
      </w:r>
      <w:r w:rsidR="00C9071C">
        <w:rPr>
          <w:lang w:val="en-GB"/>
        </w:rPr>
        <w:t>Qualcomm</w:t>
      </w:r>
      <w:r>
        <w:rPr>
          <w:lang w:val="en-GB"/>
        </w:rPr>
        <w:t xml:space="preserve"> and Huawei have</w:t>
      </w:r>
      <w:r w:rsidR="00C9071C">
        <w:rPr>
          <w:lang w:val="en-GB"/>
        </w:rPr>
        <w:t xml:space="preserve"> submitted</w:t>
      </w:r>
      <w:r>
        <w:rPr>
          <w:lang w:val="en-GB"/>
        </w:rPr>
        <w:t xml:space="preserve"> CRs </w:t>
      </w:r>
      <w:r w:rsidR="00C9071C">
        <w:rPr>
          <w:lang w:val="en-GB"/>
        </w:rPr>
        <w:t>to</w:t>
      </w:r>
      <w:r>
        <w:rPr>
          <w:lang w:val="en-GB"/>
        </w:rPr>
        <w:t xml:space="preserve"> SA2#155</w:t>
      </w:r>
      <w:r w:rsidR="00C9071C">
        <w:rPr>
          <w:lang w:val="en-GB"/>
        </w:rPr>
        <w:t xml:space="preserve"> that hopefully close the subject</w:t>
      </w:r>
      <w:r>
        <w:rPr>
          <w:lang w:val="en-GB"/>
        </w:rPr>
        <w:t xml:space="preserve">. </w:t>
      </w:r>
    </w:p>
    <w:tbl>
      <w:tblPr>
        <w:tblW w:w="4824" w:type="pct"/>
        <w:tblCellMar>
          <w:top w:w="15" w:type="dxa"/>
          <w:left w:w="15" w:type="dxa"/>
          <w:bottom w:w="15" w:type="dxa"/>
          <w:right w:w="15" w:type="dxa"/>
        </w:tblCellMar>
        <w:tblLook w:val="04A0" w:firstRow="1" w:lastRow="0" w:firstColumn="1" w:lastColumn="0" w:noHBand="0" w:noVBand="1"/>
      </w:tblPr>
      <w:tblGrid>
        <w:gridCol w:w="995"/>
        <w:gridCol w:w="290"/>
        <w:gridCol w:w="3262"/>
        <w:gridCol w:w="1940"/>
        <w:gridCol w:w="742"/>
        <w:gridCol w:w="742"/>
        <w:gridCol w:w="771"/>
        <w:gridCol w:w="281"/>
      </w:tblGrid>
      <w:tr w:rsidR="00F33905" w14:paraId="106C2394" w14:textId="77777777" w:rsidTr="00F33905">
        <w:tc>
          <w:tcPr>
            <w:tcW w:w="552" w:type="pct"/>
            <w:tcBorders>
              <w:top w:val="nil"/>
              <w:left w:val="single" w:sz="6" w:space="0" w:color="CCCCCC"/>
              <w:bottom w:val="nil"/>
              <w:right w:val="nil"/>
            </w:tcBorders>
            <w:vAlign w:val="center"/>
          </w:tcPr>
          <w:p w14:paraId="1FE5C01F" w14:textId="27DBEBF5" w:rsidR="00F33905" w:rsidRDefault="00F33905" w:rsidP="00F33905">
            <w:pPr>
              <w:spacing w:line="240" w:lineRule="atLeast"/>
              <w:jc w:val="center"/>
              <w:rPr>
                <w:rFonts w:ascii="Arial" w:hAnsi="Arial" w:cs="Arial"/>
                <w:color w:val="312E25"/>
                <w:sz w:val="18"/>
                <w:szCs w:val="18"/>
              </w:rPr>
            </w:pPr>
            <w:hyperlink r:id="rId12" w:tgtFrame="_blank" w:history="1">
              <w:r>
                <w:rPr>
                  <w:rStyle w:val="Hyperlink"/>
                  <w:rFonts w:ascii="Arial" w:hAnsi="Arial" w:cs="Arial"/>
                  <w:color w:val="000000"/>
                  <w:sz w:val="18"/>
                  <w:szCs w:val="18"/>
                </w:rPr>
                <w:t>S2-2302675</w:t>
              </w:r>
            </w:hyperlink>
          </w:p>
        </w:tc>
        <w:tc>
          <w:tcPr>
            <w:tcW w:w="161" w:type="pct"/>
            <w:tcBorders>
              <w:top w:val="nil"/>
              <w:left w:val="single" w:sz="6" w:space="0" w:color="CCCCCC"/>
              <w:bottom w:val="nil"/>
              <w:right w:val="nil"/>
            </w:tcBorders>
            <w:vAlign w:val="center"/>
          </w:tcPr>
          <w:p w14:paraId="4C08209B" w14:textId="3AF7ED85" w:rsidR="00F33905" w:rsidRDefault="00F33905" w:rsidP="00F33905">
            <w:pPr>
              <w:spacing w:line="240" w:lineRule="atLeast"/>
              <w:jc w:val="center"/>
              <w:rPr>
                <w:rFonts w:ascii="Arial" w:hAnsi="Arial" w:cs="Arial"/>
                <w:color w:val="312E25"/>
                <w:sz w:val="18"/>
                <w:szCs w:val="18"/>
              </w:rPr>
            </w:pPr>
            <w:r>
              <w:rPr>
                <w:rFonts w:ascii="Arial" w:hAnsi="Arial" w:cs="Arial"/>
                <w:color w:val="312E25"/>
                <w:sz w:val="18"/>
                <w:szCs w:val="18"/>
              </w:rPr>
              <w:t>CR</w:t>
            </w:r>
          </w:p>
        </w:tc>
        <w:tc>
          <w:tcPr>
            <w:tcW w:w="1808" w:type="pct"/>
            <w:tcBorders>
              <w:top w:val="nil"/>
              <w:left w:val="single" w:sz="6" w:space="0" w:color="CCCCCC"/>
              <w:bottom w:val="nil"/>
              <w:right w:val="nil"/>
            </w:tcBorders>
            <w:tcMar>
              <w:top w:w="15" w:type="dxa"/>
              <w:left w:w="150" w:type="dxa"/>
              <w:bottom w:w="15" w:type="dxa"/>
              <w:right w:w="300" w:type="dxa"/>
            </w:tcMar>
            <w:vAlign w:val="center"/>
          </w:tcPr>
          <w:p w14:paraId="6ED7AEC0" w14:textId="545FE726" w:rsidR="00F33905" w:rsidRDefault="00F33905" w:rsidP="00F33905">
            <w:pPr>
              <w:spacing w:line="240" w:lineRule="atLeast"/>
              <w:rPr>
                <w:rFonts w:ascii="Arial" w:hAnsi="Arial" w:cs="Arial"/>
                <w:color w:val="312E25"/>
                <w:sz w:val="18"/>
                <w:szCs w:val="18"/>
              </w:rPr>
            </w:pPr>
            <w:r>
              <w:rPr>
                <w:rFonts w:ascii="Arial" w:hAnsi="Arial" w:cs="Arial"/>
                <w:color w:val="312E25"/>
                <w:sz w:val="18"/>
                <w:szCs w:val="18"/>
              </w:rPr>
              <w:t>Update on the security in accordance with SA WG3 LS</w:t>
            </w:r>
          </w:p>
        </w:tc>
        <w:tc>
          <w:tcPr>
            <w:tcW w:w="1075" w:type="pct"/>
            <w:tcBorders>
              <w:top w:val="nil"/>
              <w:left w:val="single" w:sz="6" w:space="0" w:color="CCCCCC"/>
              <w:bottom w:val="nil"/>
              <w:right w:val="nil"/>
            </w:tcBorders>
            <w:vAlign w:val="center"/>
          </w:tcPr>
          <w:p w14:paraId="6357F0C9" w14:textId="7E3382DB" w:rsidR="00F33905" w:rsidRDefault="00F33905" w:rsidP="00F33905">
            <w:pPr>
              <w:spacing w:line="240" w:lineRule="atLeast"/>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c>
          <w:tcPr>
            <w:tcW w:w="411" w:type="pct"/>
            <w:tcBorders>
              <w:top w:val="nil"/>
              <w:left w:val="single" w:sz="6" w:space="0" w:color="CCCCCC"/>
              <w:bottom w:val="nil"/>
              <w:right w:val="nil"/>
            </w:tcBorders>
            <w:vAlign w:val="center"/>
          </w:tcPr>
          <w:p w14:paraId="3FBD44BB" w14:textId="192FF489" w:rsidR="00F33905" w:rsidRDefault="00F33905" w:rsidP="00F33905">
            <w:pPr>
              <w:spacing w:line="240" w:lineRule="atLeast"/>
              <w:jc w:val="center"/>
              <w:rPr>
                <w:rFonts w:ascii="Arial" w:hAnsi="Arial" w:cs="Arial"/>
                <w:color w:val="312E25"/>
                <w:sz w:val="18"/>
                <w:szCs w:val="18"/>
              </w:rPr>
            </w:pPr>
            <w:r>
              <w:rPr>
                <w:rFonts w:ascii="Arial" w:hAnsi="Arial" w:cs="Arial"/>
                <w:color w:val="312E25"/>
                <w:sz w:val="18"/>
                <w:szCs w:val="18"/>
              </w:rPr>
              <w:t>available</w:t>
            </w:r>
          </w:p>
        </w:tc>
        <w:tc>
          <w:tcPr>
            <w:tcW w:w="411" w:type="pct"/>
            <w:tcBorders>
              <w:top w:val="nil"/>
              <w:left w:val="single" w:sz="6" w:space="0" w:color="CCCCCC"/>
              <w:bottom w:val="nil"/>
              <w:right w:val="nil"/>
            </w:tcBorders>
            <w:vAlign w:val="center"/>
          </w:tcPr>
          <w:p w14:paraId="5B02A17C" w14:textId="5FC4F1AD" w:rsidR="00F33905" w:rsidRDefault="00F33905" w:rsidP="00F33905">
            <w:pPr>
              <w:spacing w:line="240" w:lineRule="atLeast"/>
              <w:jc w:val="center"/>
              <w:rPr>
                <w:rFonts w:ascii="Arial" w:hAnsi="Arial" w:cs="Arial"/>
                <w:color w:val="312E25"/>
                <w:sz w:val="18"/>
                <w:szCs w:val="18"/>
              </w:rPr>
            </w:pPr>
            <w:r>
              <w:rPr>
                <w:rFonts w:ascii="Arial" w:hAnsi="Arial" w:cs="Arial"/>
                <w:color w:val="312E25"/>
                <w:sz w:val="18"/>
                <w:szCs w:val="18"/>
              </w:rPr>
              <w:t>Approval</w:t>
            </w:r>
          </w:p>
        </w:tc>
        <w:tc>
          <w:tcPr>
            <w:tcW w:w="427" w:type="pct"/>
            <w:tcBorders>
              <w:top w:val="nil"/>
              <w:left w:val="single" w:sz="6" w:space="0" w:color="CCCCCC"/>
              <w:bottom w:val="nil"/>
              <w:right w:val="nil"/>
            </w:tcBorders>
            <w:vAlign w:val="center"/>
          </w:tcPr>
          <w:p w14:paraId="0EF9ECF0" w14:textId="217865BF" w:rsidR="00F33905" w:rsidRDefault="00F33905" w:rsidP="00F33905">
            <w:pPr>
              <w:spacing w:line="240" w:lineRule="atLeast"/>
              <w:jc w:val="center"/>
              <w:rPr>
                <w:rFonts w:ascii="Arial" w:hAnsi="Arial" w:cs="Arial"/>
                <w:color w:val="312E25"/>
                <w:sz w:val="18"/>
                <w:szCs w:val="18"/>
              </w:rPr>
            </w:pPr>
            <w:r>
              <w:rPr>
                <w:rFonts w:ascii="Arial" w:hAnsi="Arial" w:cs="Arial"/>
                <w:color w:val="312E25"/>
                <w:sz w:val="18"/>
                <w:szCs w:val="18"/>
              </w:rPr>
              <w:t>SA2#155</w:t>
            </w:r>
          </w:p>
        </w:tc>
        <w:tc>
          <w:tcPr>
            <w:tcW w:w="156" w:type="pct"/>
            <w:tcBorders>
              <w:top w:val="nil"/>
              <w:left w:val="single" w:sz="6" w:space="0" w:color="CCCCCC"/>
              <w:bottom w:val="nil"/>
              <w:right w:val="nil"/>
            </w:tcBorders>
            <w:vAlign w:val="center"/>
          </w:tcPr>
          <w:p w14:paraId="25037354" w14:textId="22E41972" w:rsidR="00F33905" w:rsidRDefault="00F33905" w:rsidP="00F33905">
            <w:pPr>
              <w:spacing w:line="240" w:lineRule="atLeast"/>
              <w:jc w:val="center"/>
              <w:rPr>
                <w:rStyle w:val="agendaitem"/>
                <w:rFonts w:ascii="Arial" w:hAnsi="Arial" w:cs="Arial"/>
                <w:color w:val="312E25"/>
                <w:sz w:val="18"/>
                <w:szCs w:val="18"/>
              </w:rPr>
            </w:pPr>
            <w:r>
              <w:rPr>
                <w:rStyle w:val="agendaitem"/>
                <w:rFonts w:ascii="Arial" w:hAnsi="Arial" w:cs="Arial"/>
                <w:color w:val="312E25"/>
                <w:sz w:val="18"/>
                <w:szCs w:val="18"/>
              </w:rPr>
              <w:t>8.9</w:t>
            </w:r>
          </w:p>
        </w:tc>
      </w:tr>
      <w:tr w:rsidR="00F33905" w14:paraId="4B82E3C8" w14:textId="77777777" w:rsidTr="00F33905">
        <w:tc>
          <w:tcPr>
            <w:tcW w:w="552" w:type="pct"/>
            <w:tcBorders>
              <w:top w:val="nil"/>
              <w:left w:val="single" w:sz="6" w:space="0" w:color="CCCCCC"/>
              <w:bottom w:val="nil"/>
              <w:right w:val="nil"/>
            </w:tcBorders>
            <w:vAlign w:val="center"/>
            <w:hideMark/>
          </w:tcPr>
          <w:p w14:paraId="4BFC8389" w14:textId="77777777" w:rsidR="00F33905" w:rsidRDefault="00F33905">
            <w:pPr>
              <w:spacing w:line="240" w:lineRule="atLeast"/>
              <w:jc w:val="center"/>
              <w:rPr>
                <w:rFonts w:ascii="Arial" w:hAnsi="Arial" w:cs="Arial"/>
                <w:color w:val="312E25"/>
                <w:sz w:val="18"/>
                <w:szCs w:val="18"/>
              </w:rPr>
            </w:pPr>
            <w:hyperlink r:id="rId13" w:tgtFrame="_blank" w:history="1">
              <w:r>
                <w:rPr>
                  <w:rStyle w:val="Hyperlink"/>
                  <w:rFonts w:ascii="Arial" w:hAnsi="Arial" w:cs="Arial"/>
                  <w:color w:val="000000"/>
                  <w:sz w:val="18"/>
                  <w:szCs w:val="18"/>
                </w:rPr>
                <w:t>S2-2302926</w:t>
              </w:r>
            </w:hyperlink>
          </w:p>
        </w:tc>
        <w:tc>
          <w:tcPr>
            <w:tcW w:w="161" w:type="pct"/>
            <w:tcBorders>
              <w:top w:val="nil"/>
              <w:left w:val="single" w:sz="6" w:space="0" w:color="CCCCCC"/>
              <w:bottom w:val="nil"/>
              <w:right w:val="nil"/>
            </w:tcBorders>
            <w:vAlign w:val="center"/>
            <w:hideMark/>
          </w:tcPr>
          <w:p w14:paraId="314EEB46" w14:textId="77777777" w:rsidR="00F33905" w:rsidRDefault="00F33905">
            <w:pPr>
              <w:spacing w:line="240" w:lineRule="atLeast"/>
              <w:jc w:val="center"/>
              <w:rPr>
                <w:rFonts w:ascii="Arial" w:hAnsi="Arial" w:cs="Arial"/>
                <w:color w:val="312E25"/>
                <w:sz w:val="18"/>
                <w:szCs w:val="18"/>
              </w:rPr>
            </w:pPr>
            <w:r>
              <w:rPr>
                <w:rFonts w:ascii="Arial" w:hAnsi="Arial" w:cs="Arial"/>
                <w:color w:val="312E25"/>
                <w:sz w:val="18"/>
                <w:szCs w:val="18"/>
              </w:rPr>
              <w:t>CR</w:t>
            </w:r>
          </w:p>
        </w:tc>
        <w:tc>
          <w:tcPr>
            <w:tcW w:w="1808" w:type="pct"/>
            <w:tcBorders>
              <w:top w:val="nil"/>
              <w:left w:val="single" w:sz="6" w:space="0" w:color="CCCCCC"/>
              <w:bottom w:val="nil"/>
              <w:right w:val="nil"/>
            </w:tcBorders>
            <w:tcMar>
              <w:top w:w="15" w:type="dxa"/>
              <w:left w:w="150" w:type="dxa"/>
              <w:bottom w:w="15" w:type="dxa"/>
              <w:right w:w="300" w:type="dxa"/>
            </w:tcMar>
            <w:vAlign w:val="center"/>
            <w:hideMark/>
          </w:tcPr>
          <w:p w14:paraId="3BA4A15D" w14:textId="77777777" w:rsidR="00F33905" w:rsidRDefault="00F33905">
            <w:pPr>
              <w:spacing w:line="240" w:lineRule="atLeast"/>
              <w:rPr>
                <w:rFonts w:ascii="Arial" w:hAnsi="Arial" w:cs="Arial"/>
                <w:color w:val="312E25"/>
                <w:sz w:val="18"/>
                <w:szCs w:val="18"/>
              </w:rPr>
            </w:pPr>
            <w:r>
              <w:rPr>
                <w:rFonts w:ascii="Arial" w:hAnsi="Arial" w:cs="Arial"/>
                <w:color w:val="312E25"/>
                <w:sz w:val="18"/>
                <w:szCs w:val="18"/>
              </w:rPr>
              <w:t>Alignment with security functionality</w:t>
            </w:r>
          </w:p>
        </w:tc>
        <w:tc>
          <w:tcPr>
            <w:tcW w:w="1075" w:type="pct"/>
            <w:tcBorders>
              <w:top w:val="nil"/>
              <w:left w:val="single" w:sz="6" w:space="0" w:color="CCCCCC"/>
              <w:bottom w:val="nil"/>
              <w:right w:val="nil"/>
            </w:tcBorders>
            <w:vAlign w:val="center"/>
            <w:hideMark/>
          </w:tcPr>
          <w:p w14:paraId="35CF4AD2" w14:textId="77777777" w:rsidR="00F33905" w:rsidRDefault="00F33905">
            <w:pPr>
              <w:spacing w:line="240" w:lineRule="atLeast"/>
              <w:jc w:val="center"/>
              <w:rPr>
                <w:rFonts w:ascii="Arial" w:hAnsi="Arial" w:cs="Arial"/>
                <w:color w:val="312E25"/>
                <w:sz w:val="18"/>
                <w:szCs w:val="18"/>
              </w:rPr>
            </w:pPr>
            <w:r>
              <w:rPr>
                <w:rFonts w:ascii="Arial" w:hAnsi="Arial" w:cs="Arial"/>
                <w:color w:val="312E25"/>
                <w:sz w:val="18"/>
                <w:szCs w:val="18"/>
              </w:rPr>
              <w:t>Qualcomm Incorporated</w:t>
            </w:r>
          </w:p>
        </w:tc>
        <w:tc>
          <w:tcPr>
            <w:tcW w:w="411" w:type="pct"/>
            <w:tcBorders>
              <w:top w:val="nil"/>
              <w:left w:val="single" w:sz="6" w:space="0" w:color="CCCCCC"/>
              <w:bottom w:val="nil"/>
              <w:right w:val="nil"/>
            </w:tcBorders>
            <w:vAlign w:val="center"/>
            <w:hideMark/>
          </w:tcPr>
          <w:p w14:paraId="6C76328D" w14:textId="77777777" w:rsidR="00F33905" w:rsidRDefault="00F33905">
            <w:pPr>
              <w:spacing w:line="240" w:lineRule="atLeast"/>
              <w:jc w:val="center"/>
              <w:rPr>
                <w:rFonts w:ascii="Arial" w:hAnsi="Arial" w:cs="Arial"/>
                <w:color w:val="312E25"/>
                <w:sz w:val="18"/>
                <w:szCs w:val="18"/>
              </w:rPr>
            </w:pPr>
            <w:r>
              <w:rPr>
                <w:rFonts w:ascii="Arial" w:hAnsi="Arial" w:cs="Arial"/>
                <w:color w:val="312E25"/>
                <w:sz w:val="18"/>
                <w:szCs w:val="18"/>
              </w:rPr>
              <w:t>available</w:t>
            </w:r>
          </w:p>
        </w:tc>
        <w:tc>
          <w:tcPr>
            <w:tcW w:w="411" w:type="pct"/>
            <w:tcBorders>
              <w:top w:val="nil"/>
              <w:left w:val="single" w:sz="6" w:space="0" w:color="CCCCCC"/>
              <w:bottom w:val="nil"/>
              <w:right w:val="nil"/>
            </w:tcBorders>
            <w:vAlign w:val="center"/>
            <w:hideMark/>
          </w:tcPr>
          <w:p w14:paraId="0D7E4A61" w14:textId="77777777" w:rsidR="00F33905" w:rsidRDefault="00F33905">
            <w:pPr>
              <w:spacing w:line="240" w:lineRule="atLeast"/>
              <w:jc w:val="center"/>
              <w:rPr>
                <w:rFonts w:ascii="Arial" w:hAnsi="Arial" w:cs="Arial"/>
                <w:color w:val="312E25"/>
                <w:sz w:val="18"/>
                <w:szCs w:val="18"/>
              </w:rPr>
            </w:pPr>
            <w:r>
              <w:rPr>
                <w:rFonts w:ascii="Arial" w:hAnsi="Arial" w:cs="Arial"/>
                <w:color w:val="312E25"/>
                <w:sz w:val="18"/>
                <w:szCs w:val="18"/>
              </w:rPr>
              <w:t>Approval</w:t>
            </w:r>
          </w:p>
        </w:tc>
        <w:tc>
          <w:tcPr>
            <w:tcW w:w="427" w:type="pct"/>
            <w:tcBorders>
              <w:top w:val="nil"/>
              <w:left w:val="single" w:sz="6" w:space="0" w:color="CCCCCC"/>
              <w:bottom w:val="nil"/>
              <w:right w:val="nil"/>
            </w:tcBorders>
            <w:vAlign w:val="center"/>
            <w:hideMark/>
          </w:tcPr>
          <w:p w14:paraId="40F82828" w14:textId="77777777" w:rsidR="00F33905" w:rsidRDefault="00F33905">
            <w:pPr>
              <w:spacing w:line="240" w:lineRule="atLeast"/>
              <w:jc w:val="center"/>
              <w:rPr>
                <w:rFonts w:ascii="Arial" w:hAnsi="Arial" w:cs="Arial"/>
                <w:color w:val="312E25"/>
                <w:sz w:val="18"/>
                <w:szCs w:val="18"/>
              </w:rPr>
            </w:pPr>
            <w:r>
              <w:rPr>
                <w:rFonts w:ascii="Arial" w:hAnsi="Arial" w:cs="Arial"/>
                <w:color w:val="312E25"/>
                <w:sz w:val="18"/>
                <w:szCs w:val="18"/>
              </w:rPr>
              <w:t>SA2#155</w:t>
            </w:r>
          </w:p>
        </w:tc>
        <w:tc>
          <w:tcPr>
            <w:tcW w:w="156" w:type="pct"/>
            <w:tcBorders>
              <w:top w:val="nil"/>
              <w:left w:val="single" w:sz="6" w:space="0" w:color="CCCCCC"/>
              <w:bottom w:val="nil"/>
              <w:right w:val="nil"/>
            </w:tcBorders>
            <w:vAlign w:val="center"/>
            <w:hideMark/>
          </w:tcPr>
          <w:p w14:paraId="0B2953DC" w14:textId="77777777" w:rsidR="00F33905" w:rsidRDefault="00F33905" w:rsidP="002B4DC0">
            <w:pPr>
              <w:spacing w:line="240" w:lineRule="atLeast"/>
              <w:jc w:val="center"/>
              <w:rPr>
                <w:rFonts w:ascii="Arial" w:hAnsi="Arial" w:cs="Arial"/>
                <w:color w:val="312E25"/>
                <w:sz w:val="18"/>
                <w:szCs w:val="18"/>
              </w:rPr>
            </w:pPr>
            <w:r>
              <w:rPr>
                <w:rStyle w:val="agendaitem"/>
                <w:rFonts w:ascii="Arial" w:hAnsi="Arial" w:cs="Arial"/>
                <w:color w:val="312E25"/>
                <w:sz w:val="18"/>
                <w:szCs w:val="18"/>
              </w:rPr>
              <w:t>8.9</w:t>
            </w:r>
          </w:p>
        </w:tc>
      </w:tr>
    </w:tbl>
    <w:p w14:paraId="27AE3A75" w14:textId="77BEE30D" w:rsidR="00695A32" w:rsidRDefault="00695A32" w:rsidP="00695A32">
      <w:pPr>
        <w:rPr>
          <w:lang w:val="en-GB" w:eastAsia="ko-KR"/>
        </w:rPr>
      </w:pPr>
    </w:p>
    <w:p w14:paraId="71196786" w14:textId="1BC97B0E" w:rsidR="00B56A4A" w:rsidRPr="00695A32" w:rsidRDefault="00B56A4A" w:rsidP="00695A32">
      <w:pPr>
        <w:rPr>
          <w:lang w:val="en-GB" w:eastAsia="ko-KR"/>
        </w:rPr>
      </w:pPr>
      <w:r>
        <w:rPr>
          <w:lang w:val="en-GB" w:eastAsia="ko-KR"/>
        </w:rPr>
        <w:t>It is hoped that these CRs are agreed and finally close the issues.</w:t>
      </w:r>
    </w:p>
    <w:p w14:paraId="574F26C0" w14:textId="164C43B3" w:rsidR="00B17955" w:rsidRPr="002907B6" w:rsidRDefault="00B17955" w:rsidP="002907B6">
      <w:pPr>
        <w:rPr>
          <w:lang w:val="en-GB" w:eastAsia="ko-KR"/>
        </w:rPr>
      </w:pPr>
    </w:p>
    <w:p w14:paraId="26E5F48B" w14:textId="7B79EA90" w:rsidR="00064E44" w:rsidRDefault="00B56A4A" w:rsidP="00064E44">
      <w:pPr>
        <w:pStyle w:val="Heading1"/>
        <w:rPr>
          <w:lang w:val="en-GB" w:eastAsia="ko-KR"/>
        </w:rPr>
      </w:pPr>
      <w:r>
        <w:rPr>
          <w:lang w:val="en-GB" w:eastAsia="ko-KR"/>
        </w:rPr>
        <w:t>2</w:t>
      </w:r>
      <w:r w:rsidR="00D5299B">
        <w:rPr>
          <w:lang w:val="en-GB" w:eastAsia="ko-KR"/>
        </w:rPr>
        <w:tab/>
        <w:t>Propo</w:t>
      </w:r>
      <w:r w:rsidR="00BB24EC">
        <w:rPr>
          <w:lang w:val="en-GB" w:eastAsia="ko-KR"/>
        </w:rPr>
        <w:t>sal</w:t>
      </w:r>
    </w:p>
    <w:p w14:paraId="0B1FA519" w14:textId="61026833" w:rsidR="00D867E0" w:rsidRDefault="00D867E0" w:rsidP="00D867E0">
      <w:pPr>
        <w:rPr>
          <w:lang w:val="en-GB" w:eastAsia="ko-KR"/>
        </w:rPr>
      </w:pPr>
      <w:r>
        <w:rPr>
          <w:lang w:val="en-GB" w:eastAsia="ko-KR"/>
        </w:rPr>
        <w:t xml:space="preserve">Based on this </w:t>
      </w:r>
      <w:r w:rsidR="00B97594">
        <w:rPr>
          <w:lang w:val="en-GB" w:eastAsia="ko-KR"/>
        </w:rPr>
        <w:t>information, the follow</w:t>
      </w:r>
      <w:r w:rsidR="002510D3">
        <w:rPr>
          <w:lang w:val="en-GB" w:eastAsia="ko-KR"/>
        </w:rPr>
        <w:t>ing is proposed:</w:t>
      </w:r>
    </w:p>
    <w:p w14:paraId="462E0874" w14:textId="66AAA0F1" w:rsidR="0036351C" w:rsidRDefault="00B56A4A" w:rsidP="0036351C">
      <w:pPr>
        <w:pStyle w:val="B1"/>
        <w:numPr>
          <w:ilvl w:val="0"/>
          <w:numId w:val="6"/>
        </w:numPr>
        <w:rPr>
          <w:lang w:val="en-GB" w:eastAsia="ko-KR"/>
        </w:rPr>
      </w:pPr>
      <w:r>
        <w:rPr>
          <w:lang w:val="en-GB" w:eastAsia="ko-KR"/>
        </w:rPr>
        <w:t xml:space="preserve">SA4 assumes that for CP </w:t>
      </w:r>
      <w:r w:rsidR="00CF0220">
        <w:rPr>
          <w:lang w:val="en-GB" w:eastAsia="ko-KR"/>
        </w:rPr>
        <w:t xml:space="preserve">Security, </w:t>
      </w:r>
      <w:r w:rsidR="002322EF">
        <w:rPr>
          <w:lang w:val="en-GB"/>
        </w:rPr>
        <w:t>pass</w:t>
      </w:r>
      <w:r w:rsidR="002322EF">
        <w:rPr>
          <w:lang w:val="en-GB"/>
        </w:rPr>
        <w:t>ing</w:t>
      </w:r>
      <w:r w:rsidR="002322EF">
        <w:rPr>
          <w:lang w:val="en-GB"/>
        </w:rPr>
        <w:t xml:space="preserve"> the keys from MBSF to MBSTF</w:t>
      </w:r>
      <w:r w:rsidR="002322EF">
        <w:rPr>
          <w:lang w:val="en-GB"/>
        </w:rPr>
        <w:t xml:space="preserve"> is left</w:t>
      </w:r>
      <w:r w:rsidR="00340059">
        <w:rPr>
          <w:lang w:val="en-GB"/>
        </w:rPr>
        <w:t xml:space="preserve"> to implementation</w:t>
      </w:r>
    </w:p>
    <w:p w14:paraId="3AED2ADF" w14:textId="06B7EA38" w:rsidR="00340059" w:rsidRPr="0036351C" w:rsidRDefault="006145AE" w:rsidP="0036351C">
      <w:pPr>
        <w:pStyle w:val="B1"/>
        <w:numPr>
          <w:ilvl w:val="0"/>
          <w:numId w:val="6"/>
        </w:numPr>
        <w:rPr>
          <w:lang w:val="en-GB" w:eastAsia="ko-KR"/>
        </w:rPr>
      </w:pPr>
      <w:r>
        <w:rPr>
          <w:lang w:val="en-GB"/>
        </w:rPr>
        <w:t>SA4 assumes that for UP Security, resolution in SA2 will happen in SA2#155</w:t>
      </w:r>
      <w:r w:rsidR="00E9133E">
        <w:rPr>
          <w:lang w:val="en-GB"/>
        </w:rPr>
        <w:t>. We may still have to wait until SA4#123 in order to complete the issue.</w:t>
      </w:r>
    </w:p>
    <w:sectPr w:rsidR="00340059" w:rsidRPr="0036351C">
      <w:headerReference w:type="default" r:id="rId14"/>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D7C11" w14:textId="77777777" w:rsidR="0005616C" w:rsidRDefault="0005616C" w:rsidP="0098577C">
      <w:pPr>
        <w:spacing w:after="0"/>
      </w:pPr>
      <w:r>
        <w:separator/>
      </w:r>
    </w:p>
  </w:endnote>
  <w:endnote w:type="continuationSeparator" w:id="0">
    <w:p w14:paraId="10E7549C" w14:textId="77777777" w:rsidR="0005616C" w:rsidRDefault="0005616C" w:rsidP="0098577C">
      <w:pPr>
        <w:spacing w:after="0"/>
      </w:pPr>
      <w:r>
        <w:continuationSeparator/>
      </w:r>
    </w:p>
  </w:endnote>
  <w:endnote w:type="continuationNotice" w:id="1">
    <w:p w14:paraId="1000D67E" w14:textId="77777777" w:rsidR="0005616C" w:rsidRDefault="00056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61004D" w:csb1="006C0072"/>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D843E" w14:textId="77777777" w:rsidR="0005616C" w:rsidRDefault="0005616C" w:rsidP="0098577C">
      <w:pPr>
        <w:spacing w:after="0"/>
      </w:pPr>
      <w:r>
        <w:separator/>
      </w:r>
    </w:p>
  </w:footnote>
  <w:footnote w:type="continuationSeparator" w:id="0">
    <w:p w14:paraId="45362676" w14:textId="77777777" w:rsidR="0005616C" w:rsidRDefault="0005616C" w:rsidP="0098577C">
      <w:pPr>
        <w:spacing w:after="0"/>
      </w:pPr>
      <w:r>
        <w:continuationSeparator/>
      </w:r>
    </w:p>
  </w:footnote>
  <w:footnote w:type="continuationNotice" w:id="1">
    <w:p w14:paraId="2B291699" w14:textId="77777777" w:rsidR="0005616C" w:rsidRDefault="00056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5C900D95"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577251">
      <w:rPr>
        <w:rFonts w:ascii="Arial" w:eastAsia="Batang" w:hAnsi="Arial"/>
        <w:b/>
      </w:rPr>
      <w:t>2</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230</w:t>
    </w:r>
    <w:r w:rsidR="0062610B">
      <w:rPr>
        <w:rFonts w:ascii="Arial" w:eastAsia="Batang" w:hAnsi="Arial"/>
        <w:b/>
      </w:rPr>
      <w:t>0</w:t>
    </w:r>
    <w:r w:rsidR="001907DF">
      <w:rPr>
        <w:rFonts w:ascii="Arial" w:eastAsia="Batang" w:hAnsi="Arial"/>
        <w:b/>
      </w:rPr>
      <w:t>78</w:t>
    </w:r>
  </w:p>
  <w:p w14:paraId="2BE00BBA" w14:textId="36156DFD" w:rsidR="00DE3B73" w:rsidRPr="0098577C" w:rsidRDefault="00577251" w:rsidP="0098577C">
    <w:pPr>
      <w:spacing w:after="120"/>
      <w:outlineLvl w:val="0"/>
      <w:rPr>
        <w:rFonts w:ascii="Arial" w:eastAsia="Malgun Gothic" w:hAnsi="Arial"/>
        <w:b/>
        <w:noProof/>
      </w:rPr>
    </w:pPr>
    <w:r>
      <w:rPr>
        <w:rFonts w:ascii="Arial" w:eastAsia="Malgun Gothic" w:hAnsi="Arial"/>
        <w:b/>
        <w:noProof/>
      </w:rPr>
      <w:t>Athens</w:t>
    </w:r>
    <w:r w:rsidR="009254FD">
      <w:rPr>
        <w:rFonts w:ascii="Arial" w:eastAsia="Malgun Gothic" w:hAnsi="Arial"/>
        <w:b/>
        <w:noProof/>
      </w:rPr>
      <w:t>,</w:t>
    </w:r>
    <w:r>
      <w:rPr>
        <w:rFonts w:ascii="Arial" w:eastAsia="Malgun Gothic" w:hAnsi="Arial"/>
        <w:b/>
        <w:noProof/>
      </w:rPr>
      <w:t xml:space="preserve"> Greece,</w:t>
    </w:r>
    <w:r w:rsidR="009254FD">
      <w:rPr>
        <w:rFonts w:ascii="Arial" w:eastAsia="Malgun Gothic" w:hAnsi="Arial"/>
        <w:b/>
        <w:noProof/>
      </w:rPr>
      <w:t xml:space="preserve"> </w:t>
    </w:r>
    <w:r>
      <w:rPr>
        <w:rFonts w:ascii="Arial" w:eastAsia="Malgun Gothic" w:hAnsi="Arial"/>
        <w:b/>
        <w:noProof/>
      </w:rPr>
      <w:t>20</w:t>
    </w:r>
    <w:r w:rsidR="008D1E9E" w:rsidRPr="008D1E9E">
      <w:rPr>
        <w:rFonts w:ascii="Arial" w:eastAsia="Malgun Gothic" w:hAnsi="Arial"/>
        <w:b/>
        <w:noProof/>
        <w:vertAlign w:val="superscript"/>
      </w:rPr>
      <w:t>th</w:t>
    </w:r>
    <w:r w:rsidR="00A0194E">
      <w:rPr>
        <w:rFonts w:ascii="Arial" w:eastAsia="Malgun Gothic" w:hAnsi="Arial"/>
        <w:b/>
        <w:noProof/>
      </w:rPr>
      <w:t xml:space="preserve"> – </w:t>
    </w:r>
    <w:r>
      <w:rPr>
        <w:rFonts w:ascii="Arial" w:eastAsia="Malgun Gothic" w:hAnsi="Arial"/>
        <w:b/>
        <w:noProof/>
      </w:rPr>
      <w:t>24</w:t>
    </w:r>
    <w:r w:rsidR="0098577C" w:rsidRPr="0098577C">
      <w:rPr>
        <w:rFonts w:ascii="Arial" w:eastAsia="Malgun Gothic" w:hAnsi="Arial"/>
        <w:b/>
        <w:noProof/>
        <w:vertAlign w:val="superscript"/>
      </w:rPr>
      <w:t>th</w:t>
    </w:r>
    <w:r w:rsidR="0098577C" w:rsidRPr="0098577C">
      <w:rPr>
        <w:rFonts w:ascii="Arial" w:eastAsia="Malgun Gothic" w:hAnsi="Arial"/>
        <w:b/>
        <w:noProof/>
      </w:rPr>
      <w:t xml:space="preserve"> </w:t>
    </w:r>
    <w:r>
      <w:rPr>
        <w:rFonts w:ascii="Arial" w:eastAsia="Malgun Gothic" w:hAnsi="Arial"/>
        <w:b/>
        <w:noProof/>
      </w:rPr>
      <w:t>February</w:t>
    </w:r>
    <w:r w:rsidR="008D1E9E">
      <w:rPr>
        <w:rFonts w:ascii="Arial" w:eastAsia="Malgun Gothic" w:hAnsi="Arial"/>
        <w:b/>
        <w:noProof/>
      </w:rPr>
      <w:t xml:space="preserve"> </w:t>
    </w:r>
    <w:r w:rsidR="00DE3B73">
      <w:rPr>
        <w:rFonts w:ascii="Arial" w:eastAsia="Malgun Gothic" w:hAnsi="Arial"/>
        <w:b/>
        <w:noProof/>
      </w:rPr>
      <w:t>202</w:t>
    </w:r>
    <w:r>
      <w:rPr>
        <w:rFonts w:ascii="Arial" w:eastAsia="Malgun Gothic" w:hAnsi="Arial"/>
        <w:b/>
        <w:noProof/>
      </w:rPr>
      <w:t>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660400">
    <w:abstractNumId w:val="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3"/>
  </w:num>
  <w:num w:numId="3" w16cid:durableId="2065760970">
    <w:abstractNumId w:val="4"/>
  </w:num>
  <w:num w:numId="4" w16cid:durableId="2001108533">
    <w:abstractNumId w:val="0"/>
  </w:num>
  <w:num w:numId="5" w16cid:durableId="1318849535">
    <w:abstractNumId w:val="5"/>
  </w:num>
  <w:num w:numId="6" w16cid:durableId="172794845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proofState w:spelling="clean"/>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574F"/>
    <w:rsid w:val="000C702A"/>
    <w:rsid w:val="000D0F83"/>
    <w:rsid w:val="000E160A"/>
    <w:rsid w:val="000E4F0D"/>
    <w:rsid w:val="000E56BE"/>
    <w:rsid w:val="000E748F"/>
    <w:rsid w:val="000F0009"/>
    <w:rsid w:val="000F0253"/>
    <w:rsid w:val="000F309B"/>
    <w:rsid w:val="000F4846"/>
    <w:rsid w:val="000F5263"/>
    <w:rsid w:val="000F63EF"/>
    <w:rsid w:val="000F7959"/>
    <w:rsid w:val="00110575"/>
    <w:rsid w:val="0011166C"/>
    <w:rsid w:val="00116CCB"/>
    <w:rsid w:val="00124D2E"/>
    <w:rsid w:val="00127678"/>
    <w:rsid w:val="00127A4A"/>
    <w:rsid w:val="00134446"/>
    <w:rsid w:val="00136B98"/>
    <w:rsid w:val="0014071C"/>
    <w:rsid w:val="00142530"/>
    <w:rsid w:val="00144803"/>
    <w:rsid w:val="001457C2"/>
    <w:rsid w:val="001564FD"/>
    <w:rsid w:val="0016015F"/>
    <w:rsid w:val="001607DF"/>
    <w:rsid w:val="00161133"/>
    <w:rsid w:val="00162467"/>
    <w:rsid w:val="00164A17"/>
    <w:rsid w:val="00165512"/>
    <w:rsid w:val="00165921"/>
    <w:rsid w:val="00170EAB"/>
    <w:rsid w:val="00171788"/>
    <w:rsid w:val="00176BA7"/>
    <w:rsid w:val="00180C18"/>
    <w:rsid w:val="00181EAD"/>
    <w:rsid w:val="0018372C"/>
    <w:rsid w:val="00184797"/>
    <w:rsid w:val="00184AB3"/>
    <w:rsid w:val="00185FC2"/>
    <w:rsid w:val="001907DF"/>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D247F"/>
    <w:rsid w:val="001D511D"/>
    <w:rsid w:val="001D64A5"/>
    <w:rsid w:val="001E2532"/>
    <w:rsid w:val="001E34F8"/>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30AFA"/>
    <w:rsid w:val="00231C7D"/>
    <w:rsid w:val="002322EF"/>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DC0"/>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0059"/>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67C9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5DE5"/>
    <w:rsid w:val="003F768C"/>
    <w:rsid w:val="003F7C65"/>
    <w:rsid w:val="003F7D16"/>
    <w:rsid w:val="00403155"/>
    <w:rsid w:val="00406855"/>
    <w:rsid w:val="0041032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5D7"/>
    <w:rsid w:val="00510162"/>
    <w:rsid w:val="00511D13"/>
    <w:rsid w:val="00511E5D"/>
    <w:rsid w:val="005126DA"/>
    <w:rsid w:val="00516778"/>
    <w:rsid w:val="005201FC"/>
    <w:rsid w:val="00521768"/>
    <w:rsid w:val="00522AB2"/>
    <w:rsid w:val="0052521F"/>
    <w:rsid w:val="00525F42"/>
    <w:rsid w:val="00527B2E"/>
    <w:rsid w:val="00527E52"/>
    <w:rsid w:val="00530320"/>
    <w:rsid w:val="00531A22"/>
    <w:rsid w:val="00531BF8"/>
    <w:rsid w:val="005320A1"/>
    <w:rsid w:val="00532431"/>
    <w:rsid w:val="00533A62"/>
    <w:rsid w:val="00537C9D"/>
    <w:rsid w:val="0054034F"/>
    <w:rsid w:val="0054224B"/>
    <w:rsid w:val="00542A45"/>
    <w:rsid w:val="005478F4"/>
    <w:rsid w:val="00547BEF"/>
    <w:rsid w:val="00557650"/>
    <w:rsid w:val="0056109B"/>
    <w:rsid w:val="00564255"/>
    <w:rsid w:val="00564C26"/>
    <w:rsid w:val="00567A45"/>
    <w:rsid w:val="005710CD"/>
    <w:rsid w:val="005743B9"/>
    <w:rsid w:val="005753DF"/>
    <w:rsid w:val="00577251"/>
    <w:rsid w:val="00580C9A"/>
    <w:rsid w:val="0058250E"/>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6586"/>
    <w:rsid w:val="005D0501"/>
    <w:rsid w:val="005D292B"/>
    <w:rsid w:val="005D3C00"/>
    <w:rsid w:val="005D609D"/>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45AE"/>
    <w:rsid w:val="0061577F"/>
    <w:rsid w:val="00617BC7"/>
    <w:rsid w:val="006206E0"/>
    <w:rsid w:val="006226C2"/>
    <w:rsid w:val="0062606D"/>
    <w:rsid w:val="0062610B"/>
    <w:rsid w:val="006269E3"/>
    <w:rsid w:val="00626CFA"/>
    <w:rsid w:val="00631B8D"/>
    <w:rsid w:val="0063204D"/>
    <w:rsid w:val="006323DD"/>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65"/>
    <w:rsid w:val="006724DB"/>
    <w:rsid w:val="00673684"/>
    <w:rsid w:val="00673F0D"/>
    <w:rsid w:val="006751F6"/>
    <w:rsid w:val="00677BF5"/>
    <w:rsid w:val="00677F67"/>
    <w:rsid w:val="00680158"/>
    <w:rsid w:val="00680668"/>
    <w:rsid w:val="00680E97"/>
    <w:rsid w:val="00683C49"/>
    <w:rsid w:val="006848E9"/>
    <w:rsid w:val="00685691"/>
    <w:rsid w:val="00686472"/>
    <w:rsid w:val="006909C8"/>
    <w:rsid w:val="00692583"/>
    <w:rsid w:val="00695A32"/>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7DAB"/>
    <w:rsid w:val="007B3C87"/>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530B"/>
    <w:rsid w:val="00825C3C"/>
    <w:rsid w:val="00834B85"/>
    <w:rsid w:val="00835573"/>
    <w:rsid w:val="00836EC5"/>
    <w:rsid w:val="008429EF"/>
    <w:rsid w:val="008440F3"/>
    <w:rsid w:val="00846A3E"/>
    <w:rsid w:val="00847C49"/>
    <w:rsid w:val="0085243A"/>
    <w:rsid w:val="00853948"/>
    <w:rsid w:val="0085506D"/>
    <w:rsid w:val="00856755"/>
    <w:rsid w:val="00857901"/>
    <w:rsid w:val="0086751D"/>
    <w:rsid w:val="00872D9D"/>
    <w:rsid w:val="0088035B"/>
    <w:rsid w:val="008807D2"/>
    <w:rsid w:val="00883F11"/>
    <w:rsid w:val="008845A5"/>
    <w:rsid w:val="00884F11"/>
    <w:rsid w:val="00886417"/>
    <w:rsid w:val="00890406"/>
    <w:rsid w:val="00890506"/>
    <w:rsid w:val="00891491"/>
    <w:rsid w:val="00893B1D"/>
    <w:rsid w:val="00894C6C"/>
    <w:rsid w:val="00895E60"/>
    <w:rsid w:val="00895F02"/>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21F1"/>
    <w:rsid w:val="008C2D63"/>
    <w:rsid w:val="008C5BD2"/>
    <w:rsid w:val="008D1E9E"/>
    <w:rsid w:val="008D2407"/>
    <w:rsid w:val="008D57D5"/>
    <w:rsid w:val="008D5DF4"/>
    <w:rsid w:val="008D601E"/>
    <w:rsid w:val="008D61E6"/>
    <w:rsid w:val="008E063C"/>
    <w:rsid w:val="008E7C31"/>
    <w:rsid w:val="008F1406"/>
    <w:rsid w:val="008F1AF7"/>
    <w:rsid w:val="008F1DFE"/>
    <w:rsid w:val="008F3521"/>
    <w:rsid w:val="008F46BB"/>
    <w:rsid w:val="008F4758"/>
    <w:rsid w:val="008F6F9E"/>
    <w:rsid w:val="008F78E1"/>
    <w:rsid w:val="0090205D"/>
    <w:rsid w:val="00903C19"/>
    <w:rsid w:val="0090627C"/>
    <w:rsid w:val="00906C48"/>
    <w:rsid w:val="00912BFF"/>
    <w:rsid w:val="0091358A"/>
    <w:rsid w:val="0092171D"/>
    <w:rsid w:val="00922E21"/>
    <w:rsid w:val="009254FD"/>
    <w:rsid w:val="00930651"/>
    <w:rsid w:val="00930C00"/>
    <w:rsid w:val="00932AC6"/>
    <w:rsid w:val="00934C21"/>
    <w:rsid w:val="009354A7"/>
    <w:rsid w:val="00935818"/>
    <w:rsid w:val="00940CC6"/>
    <w:rsid w:val="009427E2"/>
    <w:rsid w:val="009445F2"/>
    <w:rsid w:val="00950817"/>
    <w:rsid w:val="0095115C"/>
    <w:rsid w:val="00956CFA"/>
    <w:rsid w:val="00957588"/>
    <w:rsid w:val="009614E2"/>
    <w:rsid w:val="0096387E"/>
    <w:rsid w:val="00963C0D"/>
    <w:rsid w:val="00965210"/>
    <w:rsid w:val="0096643A"/>
    <w:rsid w:val="0097284C"/>
    <w:rsid w:val="00973D51"/>
    <w:rsid w:val="00975D96"/>
    <w:rsid w:val="009761F8"/>
    <w:rsid w:val="00982939"/>
    <w:rsid w:val="0098373E"/>
    <w:rsid w:val="00984355"/>
    <w:rsid w:val="0098459B"/>
    <w:rsid w:val="00984A3E"/>
    <w:rsid w:val="0098514B"/>
    <w:rsid w:val="0098577C"/>
    <w:rsid w:val="00990A2D"/>
    <w:rsid w:val="00995553"/>
    <w:rsid w:val="009956C8"/>
    <w:rsid w:val="009A329B"/>
    <w:rsid w:val="009A5781"/>
    <w:rsid w:val="009A7F06"/>
    <w:rsid w:val="009C122F"/>
    <w:rsid w:val="009C189D"/>
    <w:rsid w:val="009C7D96"/>
    <w:rsid w:val="009D12D9"/>
    <w:rsid w:val="009D3FDE"/>
    <w:rsid w:val="009D60A0"/>
    <w:rsid w:val="009D72EC"/>
    <w:rsid w:val="009E04D6"/>
    <w:rsid w:val="009E08FB"/>
    <w:rsid w:val="009E152F"/>
    <w:rsid w:val="009E1958"/>
    <w:rsid w:val="009E1D63"/>
    <w:rsid w:val="009E1E98"/>
    <w:rsid w:val="009E3320"/>
    <w:rsid w:val="009E4685"/>
    <w:rsid w:val="009E6527"/>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321A"/>
    <w:rsid w:val="00A37A1B"/>
    <w:rsid w:val="00A418C1"/>
    <w:rsid w:val="00A456A7"/>
    <w:rsid w:val="00A45EA9"/>
    <w:rsid w:val="00A468BE"/>
    <w:rsid w:val="00A538EF"/>
    <w:rsid w:val="00A5641D"/>
    <w:rsid w:val="00A568FF"/>
    <w:rsid w:val="00A5733A"/>
    <w:rsid w:val="00A57E83"/>
    <w:rsid w:val="00A615DA"/>
    <w:rsid w:val="00A62ED3"/>
    <w:rsid w:val="00A7045D"/>
    <w:rsid w:val="00A74A8A"/>
    <w:rsid w:val="00A7625F"/>
    <w:rsid w:val="00A76E4F"/>
    <w:rsid w:val="00A822F8"/>
    <w:rsid w:val="00A82AE9"/>
    <w:rsid w:val="00A85BA0"/>
    <w:rsid w:val="00A90186"/>
    <w:rsid w:val="00A92EB6"/>
    <w:rsid w:val="00A93ADB"/>
    <w:rsid w:val="00A9478C"/>
    <w:rsid w:val="00A94DD6"/>
    <w:rsid w:val="00A96623"/>
    <w:rsid w:val="00A979B3"/>
    <w:rsid w:val="00AA229E"/>
    <w:rsid w:val="00AA32A7"/>
    <w:rsid w:val="00AA6A5D"/>
    <w:rsid w:val="00AB012B"/>
    <w:rsid w:val="00AB1DBB"/>
    <w:rsid w:val="00AB421E"/>
    <w:rsid w:val="00AB5400"/>
    <w:rsid w:val="00AB5C89"/>
    <w:rsid w:val="00AB6611"/>
    <w:rsid w:val="00AB6B13"/>
    <w:rsid w:val="00AC0500"/>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56A4A"/>
    <w:rsid w:val="00B61AE9"/>
    <w:rsid w:val="00B61B7B"/>
    <w:rsid w:val="00B62278"/>
    <w:rsid w:val="00B63148"/>
    <w:rsid w:val="00B63561"/>
    <w:rsid w:val="00B67E3F"/>
    <w:rsid w:val="00B7187F"/>
    <w:rsid w:val="00B71AC9"/>
    <w:rsid w:val="00B7308B"/>
    <w:rsid w:val="00B74313"/>
    <w:rsid w:val="00B757C2"/>
    <w:rsid w:val="00B76142"/>
    <w:rsid w:val="00B76BF3"/>
    <w:rsid w:val="00B82583"/>
    <w:rsid w:val="00B8614E"/>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07AF"/>
    <w:rsid w:val="00C32F09"/>
    <w:rsid w:val="00C35A2C"/>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71C"/>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94C"/>
    <w:rsid w:val="00CD567E"/>
    <w:rsid w:val="00CD6A5E"/>
    <w:rsid w:val="00CE1CEE"/>
    <w:rsid w:val="00CE5BA2"/>
    <w:rsid w:val="00CE5C3D"/>
    <w:rsid w:val="00CE628E"/>
    <w:rsid w:val="00CE75C9"/>
    <w:rsid w:val="00CF0220"/>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E76"/>
    <w:rsid w:val="00D50F9E"/>
    <w:rsid w:val="00D524D8"/>
    <w:rsid w:val="00D5299B"/>
    <w:rsid w:val="00D52CD2"/>
    <w:rsid w:val="00D53278"/>
    <w:rsid w:val="00D53402"/>
    <w:rsid w:val="00D608DE"/>
    <w:rsid w:val="00D616B4"/>
    <w:rsid w:val="00D61A11"/>
    <w:rsid w:val="00D70B3B"/>
    <w:rsid w:val="00D71D9C"/>
    <w:rsid w:val="00D73F71"/>
    <w:rsid w:val="00D75F23"/>
    <w:rsid w:val="00D8112F"/>
    <w:rsid w:val="00D82339"/>
    <w:rsid w:val="00D823EC"/>
    <w:rsid w:val="00D85550"/>
    <w:rsid w:val="00D8596B"/>
    <w:rsid w:val="00D8599A"/>
    <w:rsid w:val="00D867E0"/>
    <w:rsid w:val="00D927CA"/>
    <w:rsid w:val="00D94100"/>
    <w:rsid w:val="00D94F2F"/>
    <w:rsid w:val="00D95902"/>
    <w:rsid w:val="00DA06C0"/>
    <w:rsid w:val="00DA2210"/>
    <w:rsid w:val="00DA3371"/>
    <w:rsid w:val="00DA662E"/>
    <w:rsid w:val="00DB308D"/>
    <w:rsid w:val="00DB4E87"/>
    <w:rsid w:val="00DC28AD"/>
    <w:rsid w:val="00DC71AB"/>
    <w:rsid w:val="00DE3B73"/>
    <w:rsid w:val="00DE3D02"/>
    <w:rsid w:val="00DE5048"/>
    <w:rsid w:val="00DE55DC"/>
    <w:rsid w:val="00DF30C9"/>
    <w:rsid w:val="00DF6CC5"/>
    <w:rsid w:val="00E00EC2"/>
    <w:rsid w:val="00E0464F"/>
    <w:rsid w:val="00E06C04"/>
    <w:rsid w:val="00E070A7"/>
    <w:rsid w:val="00E071AB"/>
    <w:rsid w:val="00E07E2E"/>
    <w:rsid w:val="00E10E9F"/>
    <w:rsid w:val="00E118FB"/>
    <w:rsid w:val="00E14B7C"/>
    <w:rsid w:val="00E14D49"/>
    <w:rsid w:val="00E152D2"/>
    <w:rsid w:val="00E156D1"/>
    <w:rsid w:val="00E176E4"/>
    <w:rsid w:val="00E20992"/>
    <w:rsid w:val="00E215B2"/>
    <w:rsid w:val="00E24E50"/>
    <w:rsid w:val="00E2521E"/>
    <w:rsid w:val="00E304C4"/>
    <w:rsid w:val="00E323CF"/>
    <w:rsid w:val="00E32473"/>
    <w:rsid w:val="00E33A81"/>
    <w:rsid w:val="00E35766"/>
    <w:rsid w:val="00E35A51"/>
    <w:rsid w:val="00E36BBC"/>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133E"/>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1ACC"/>
    <w:rsid w:val="00EC7A71"/>
    <w:rsid w:val="00ED2E7E"/>
    <w:rsid w:val="00ED38B5"/>
    <w:rsid w:val="00ED47F7"/>
    <w:rsid w:val="00ED5802"/>
    <w:rsid w:val="00ED63F5"/>
    <w:rsid w:val="00ED67EC"/>
    <w:rsid w:val="00EE01D2"/>
    <w:rsid w:val="00EE1906"/>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73AA"/>
    <w:rsid w:val="00F3028D"/>
    <w:rsid w:val="00F32FE1"/>
    <w:rsid w:val="00F33905"/>
    <w:rsid w:val="00F358E7"/>
    <w:rsid w:val="00F35B05"/>
    <w:rsid w:val="00F35CE7"/>
    <w:rsid w:val="00F36742"/>
    <w:rsid w:val="00F414FC"/>
    <w:rsid w:val="00F422DC"/>
    <w:rsid w:val="00F46999"/>
    <w:rsid w:val="00F52944"/>
    <w:rsid w:val="00F53871"/>
    <w:rsid w:val="00F54032"/>
    <w:rsid w:val="00F54CD7"/>
    <w:rsid w:val="00F57038"/>
    <w:rsid w:val="00F62829"/>
    <w:rsid w:val="00F63FC3"/>
    <w:rsid w:val="00F65052"/>
    <w:rsid w:val="00F6709B"/>
    <w:rsid w:val="00F67588"/>
    <w:rsid w:val="00F7672B"/>
    <w:rsid w:val="00F774BE"/>
    <w:rsid w:val="00F7759A"/>
    <w:rsid w:val="00F77FFE"/>
    <w:rsid w:val="00F80F70"/>
    <w:rsid w:val="00F81DBD"/>
    <w:rsid w:val="00F82FB4"/>
    <w:rsid w:val="00F835AE"/>
    <w:rsid w:val="00F9038A"/>
    <w:rsid w:val="00F92189"/>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NOZchn">
    <w:name w:val="NO Zchn"/>
    <w:basedOn w:val="DefaultParagraphFont"/>
    <w:locked/>
    <w:rsid w:val="00695A32"/>
  </w:style>
  <w:style w:type="character" w:customStyle="1" w:styleId="agendaitem">
    <w:name w:val="agendaitem"/>
    <w:basedOn w:val="DefaultParagraphFont"/>
    <w:rsid w:val="002B4D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098522256">
      <w:bodyDiv w:val="1"/>
      <w:marLeft w:val="0"/>
      <w:marRight w:val="0"/>
      <w:marTop w:val="0"/>
      <w:marBottom w:val="0"/>
      <w:divBdr>
        <w:top w:val="none" w:sz="0" w:space="0" w:color="auto"/>
        <w:left w:val="none" w:sz="0" w:space="0" w:color="auto"/>
        <w:bottom w:val="none" w:sz="0" w:space="0" w:color="auto"/>
        <w:right w:val="none" w:sz="0" w:space="0" w:color="auto"/>
      </w:divBdr>
      <w:divsChild>
        <w:div w:id="1980529559">
          <w:marLeft w:val="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544173212">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55_Athens_2023-02/Docs/S2-230292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55_Athens_2023-02/Docs/S2-230267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C2cMG33mWVY"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AEA1F563-A556-43AF-B6AD-308CF442291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166</TotalTime>
  <Pages>2</Pages>
  <Words>545</Words>
  <Characters>3107</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22</cp:revision>
  <dcterms:created xsi:type="dcterms:W3CDTF">2023-02-14T17:03:00Z</dcterms:created>
  <dcterms:modified xsi:type="dcterms:W3CDTF">2023-02-14T19:47:00Z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